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A1E6D" w14:textId="77777777" w:rsidR="00E60AD3" w:rsidRDefault="00000000">
      <w:pPr>
        <w:spacing w:after="30"/>
      </w:pPr>
      <w:r>
        <w:rPr>
          <w:rFonts w:ascii="Arial" w:eastAsia="Arial" w:hAnsi="Arial" w:cs="Arial"/>
          <w:b/>
          <w:bCs/>
          <w:color w:val="5B1F4A"/>
          <w:sz w:val="36"/>
          <w:szCs w:val="36"/>
        </w:rPr>
        <w:t>HERO’S RELATIONSHIP JOURNEY</w:t>
      </w:r>
    </w:p>
    <w:p w14:paraId="0BDDF0CD" w14:textId="77777777" w:rsidR="00E60AD3" w:rsidRDefault="00000000">
      <w:pPr>
        <w:spacing w:after="30"/>
      </w:pPr>
      <w:r>
        <w:rPr>
          <w:rFonts w:ascii="Arial" w:eastAsia="Arial" w:hAnsi="Arial" w:cs="Arial"/>
          <w:i/>
          <w:iCs/>
          <w:color w:val="C8A96E"/>
          <w:sz w:val="21"/>
          <w:szCs w:val="21"/>
        </w:rPr>
        <w:t>Program structure &amp; curriculum rationale.</w:t>
      </w:r>
    </w:p>
    <w:p w14:paraId="5C6B9A99" w14:textId="77777777" w:rsidR="00E60AD3" w:rsidRDefault="00000000">
      <w:pPr>
        <w:pBdr>
          <w:bottom w:val="single" w:sz="4" w:space="4" w:color="C8A96E"/>
        </w:pBdr>
        <w:spacing w:after="120"/>
      </w:pPr>
      <w:proofErr w:type="spellStart"/>
      <w:r>
        <w:rPr>
          <w:rFonts w:ascii="Arial" w:eastAsia="Arial" w:hAnsi="Arial" w:cs="Arial"/>
          <w:color w:val="555555"/>
          <w:sz w:val="18"/>
          <w:szCs w:val="18"/>
        </w:rPr>
        <w:t>Intimology</w:t>
      </w:r>
      <w:proofErr w:type="spellEnd"/>
      <w:r>
        <w:rPr>
          <w:rFonts w:ascii="Arial" w:eastAsia="Arial" w:hAnsi="Arial" w:cs="Arial"/>
          <w:color w:val="555555"/>
          <w:sz w:val="18"/>
          <w:szCs w:val="18"/>
        </w:rPr>
        <w:t xml:space="preserve"> — the education division of </w:t>
      </w:r>
      <w:proofErr w:type="gramStart"/>
      <w:r>
        <w:rPr>
          <w:rFonts w:ascii="Arial" w:eastAsia="Arial" w:hAnsi="Arial" w:cs="Arial"/>
          <w:color w:val="555555"/>
          <w:sz w:val="18"/>
          <w:szCs w:val="18"/>
        </w:rPr>
        <w:t>Sexess  |</w:t>
      </w:r>
      <w:proofErr w:type="gramEnd"/>
      <w:r>
        <w:rPr>
          <w:rFonts w:ascii="Arial" w:eastAsia="Arial" w:hAnsi="Arial" w:cs="Arial"/>
          <w:color w:val="555555"/>
          <w:sz w:val="18"/>
          <w:szCs w:val="18"/>
        </w:rPr>
        <w:t xml:space="preserve">  501(c)(3</w:t>
      </w:r>
      <w:proofErr w:type="gramStart"/>
      <w:r>
        <w:rPr>
          <w:rFonts w:ascii="Arial" w:eastAsia="Arial" w:hAnsi="Arial" w:cs="Arial"/>
          <w:color w:val="555555"/>
          <w:sz w:val="18"/>
          <w:szCs w:val="18"/>
        </w:rPr>
        <w:t>)  |</w:t>
      </w:r>
      <w:proofErr w:type="gramEnd"/>
      <w:r>
        <w:rPr>
          <w:rFonts w:ascii="Arial" w:eastAsia="Arial" w:hAnsi="Arial" w:cs="Arial"/>
          <w:color w:val="555555"/>
          <w:sz w:val="18"/>
          <w:szCs w:val="18"/>
        </w:rPr>
        <w:t xml:space="preserve">  EIN #88-3785162</w:t>
      </w:r>
    </w:p>
    <w:p w14:paraId="30CDF3A3" w14:textId="77777777" w:rsidR="00E60AD3" w:rsidRDefault="00000000">
      <w:pPr>
        <w:pBdr>
          <w:bottom w:val="single" w:sz="2" w:space="3" w:color="D4B8C8"/>
        </w:pBdr>
        <w:spacing w:before="200" w:after="80"/>
      </w:pPr>
      <w:r>
        <w:rPr>
          <w:rFonts w:ascii="Arial" w:eastAsia="Arial" w:hAnsi="Arial" w:cs="Arial"/>
          <w:b/>
          <w:bCs/>
          <w:color w:val="5B1F4A"/>
          <w:sz w:val="22"/>
          <w:szCs w:val="22"/>
        </w:rPr>
        <w:t>What This Program Is</w:t>
      </w:r>
    </w:p>
    <w:p w14:paraId="68087BB2" w14:textId="77777777" w:rsidR="00E60AD3" w:rsidRDefault="00000000">
      <w:pPr>
        <w:spacing w:after="80"/>
      </w:pPr>
      <w:r>
        <w:rPr>
          <w:rFonts w:ascii="Arial" w:eastAsia="Arial" w:hAnsi="Arial" w:cs="Arial"/>
          <w:color w:val="555555"/>
        </w:rPr>
        <w:t>The Hero’s Relationship Journey is a 52-week, skills-based relationship education program designed to reduce harm, increase relational competence, and build sustainable intimacy across dating, partnership, family, and community life. Participants attend one 3-hour session per week for 52 weeks on a consistent day, allowing time for real-world application, reflection, and integration between sessions.</w:t>
      </w:r>
    </w:p>
    <w:p w14:paraId="287E4072" w14:textId="77777777" w:rsidR="00E60AD3" w:rsidRDefault="00000000">
      <w:pPr>
        <w:spacing w:after="80"/>
      </w:pPr>
      <w:r>
        <w:rPr>
          <w:rFonts w:ascii="Arial" w:eastAsia="Arial" w:hAnsi="Arial" w:cs="Arial"/>
          <w:color w:val="555555"/>
        </w:rPr>
        <w:t>This is not a motivational series or a short workshop. It is practical relationship education delivered in the right order, at the right pace, for the right reasons.</w:t>
      </w:r>
    </w:p>
    <w:p w14:paraId="0E7B14A8" w14:textId="77777777" w:rsidR="00E60AD3" w:rsidRDefault="00000000">
      <w:pPr>
        <w:spacing w:after="60"/>
      </w:pPr>
      <w:r>
        <w:rPr>
          <w:rFonts w:ascii="Arial" w:eastAsia="Arial" w:hAnsi="Arial" w:cs="Arial"/>
          <w:i/>
          <w:iCs/>
          <w:color w:val="5B1F4A"/>
        </w:rPr>
        <w:t>Perfection isn’t the goal. Sustainable skills, informed choices, and reduced harm are.</w:t>
      </w:r>
    </w:p>
    <w:p w14:paraId="22D43033" w14:textId="77777777" w:rsidR="00E60AD3" w:rsidRDefault="00000000">
      <w:pPr>
        <w:pBdr>
          <w:bottom w:val="single" w:sz="2" w:space="3" w:color="D4B8C8"/>
        </w:pBdr>
        <w:spacing w:before="200" w:after="80"/>
      </w:pPr>
      <w:r>
        <w:rPr>
          <w:rFonts w:ascii="Arial" w:eastAsia="Arial" w:hAnsi="Arial" w:cs="Arial"/>
          <w:b/>
          <w:bCs/>
          <w:color w:val="5B1F4A"/>
          <w:sz w:val="22"/>
          <w:szCs w:val="22"/>
        </w:rPr>
        <w:t>The Core Differentiator</w:t>
      </w:r>
    </w:p>
    <w:p w14:paraId="4149CCB9" w14:textId="77777777" w:rsidR="00E60AD3" w:rsidRDefault="00000000">
      <w:pPr>
        <w:spacing w:after="80"/>
      </w:pPr>
      <w:r>
        <w:rPr>
          <w:rFonts w:ascii="Arial" w:eastAsia="Arial" w:hAnsi="Arial" w:cs="Arial"/>
          <w:color w:val="555555"/>
        </w:rPr>
        <w:t>The HRJ draws from established psychological and relational frameworks — attachment principles, communication and conflict repair models, emotional regulation strategies, and consent-based intimacy practices. What distinguishes this model is not isolated technique but structured integration. Participants progress weekly with built-in checkpoints designed to stabilize growth, prevent regression, and translate knowledge into consistent behavior under pressure.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60AD3" w14:paraId="37627C70" w14:textId="77777777">
        <w:tblPrEx>
          <w:tblCellMar>
            <w:top w:w="0" w:type="dxa"/>
            <w:bottom w:w="0" w:type="dxa"/>
          </w:tblCellMar>
        </w:tblPrEx>
        <w:tc>
          <w:tcPr>
            <w:tcW w:w="4680" w:type="dxa"/>
            <w:tcBorders>
              <w:top w:val="single" w:sz="1" w:space="0" w:color="D4B8C8"/>
              <w:left w:val="single" w:sz="1" w:space="0" w:color="D4B8C8"/>
              <w:bottom w:val="single" w:sz="1" w:space="0" w:color="D4B8C8"/>
              <w:right w:val="single" w:sz="1" w:space="0" w:color="D4B8C8"/>
            </w:tcBorders>
            <w:tcMar>
              <w:top w:w="80" w:type="dxa"/>
              <w:left w:w="120" w:type="dxa"/>
              <w:bottom w:w="80" w:type="dxa"/>
              <w:right w:w="120" w:type="dxa"/>
            </w:tcMar>
          </w:tcPr>
          <w:p w14:paraId="727E61C5" w14:textId="77777777" w:rsidR="00E60AD3" w:rsidRDefault="00000000">
            <w:pPr>
              <w:spacing w:after="60"/>
            </w:pPr>
            <w:r>
              <w:rPr>
                <w:rFonts w:ascii="Arial" w:eastAsia="Arial" w:hAnsi="Arial" w:cs="Arial"/>
                <w:b/>
                <w:bCs/>
                <w:color w:val="5B1F4A"/>
              </w:rPr>
              <w:t>Built Different</w:t>
            </w:r>
          </w:p>
          <w:p w14:paraId="7579A864" w14:textId="10DEC2BC" w:rsidR="00E60AD3" w:rsidRDefault="00000000">
            <w:pPr>
              <w:spacing w:after="40"/>
            </w:pPr>
            <w:r>
              <w:rPr>
                <w:rFonts w:ascii="Arial" w:eastAsia="Arial" w:hAnsi="Arial" w:cs="Arial"/>
                <w:color w:val="555555"/>
                <w:sz w:val="19"/>
                <w:szCs w:val="19"/>
              </w:rPr>
              <w:t>• Evidence-informed foundations</w:t>
            </w:r>
            <w:r w:rsidR="003F5E72">
              <w:rPr>
                <w:rFonts w:ascii="Arial" w:eastAsia="Arial" w:hAnsi="Arial" w:cs="Arial"/>
                <w:color w:val="555555"/>
                <w:sz w:val="19"/>
                <w:szCs w:val="19"/>
              </w:rPr>
              <w:t>,</w:t>
            </w:r>
            <w:r>
              <w:rPr>
                <w:rFonts w:ascii="Arial" w:eastAsia="Arial" w:hAnsi="Arial" w:cs="Arial"/>
                <w:color w:val="555555"/>
                <w:sz w:val="19"/>
                <w:szCs w:val="19"/>
              </w:rPr>
              <w:t xml:space="preserve"> not </w:t>
            </w:r>
            <w:r w:rsidR="003F5E72">
              <w:rPr>
                <w:rFonts w:ascii="Arial" w:eastAsia="Arial" w:hAnsi="Arial" w:cs="Arial"/>
                <w:color w:val="555555"/>
                <w:sz w:val="19"/>
                <w:szCs w:val="19"/>
              </w:rPr>
              <w:t>trends</w:t>
            </w:r>
          </w:p>
          <w:p w14:paraId="573DFED6" w14:textId="0E769DC5" w:rsidR="00E60AD3" w:rsidRDefault="00000000">
            <w:pPr>
              <w:spacing w:after="40"/>
            </w:pPr>
            <w:r>
              <w:rPr>
                <w:rFonts w:ascii="Arial" w:eastAsia="Arial" w:hAnsi="Arial" w:cs="Arial"/>
                <w:color w:val="555555"/>
                <w:sz w:val="19"/>
                <w:szCs w:val="19"/>
              </w:rPr>
              <w:t>• Gender-neutral application</w:t>
            </w:r>
            <w:r w:rsidR="003F5E72">
              <w:rPr>
                <w:rFonts w:ascii="Arial" w:eastAsia="Arial" w:hAnsi="Arial" w:cs="Arial"/>
                <w:color w:val="555555"/>
                <w:sz w:val="19"/>
                <w:szCs w:val="19"/>
              </w:rPr>
              <w:t>,</w:t>
            </w:r>
            <w:r>
              <w:rPr>
                <w:rFonts w:ascii="Arial" w:eastAsia="Arial" w:hAnsi="Arial" w:cs="Arial"/>
                <w:color w:val="555555"/>
                <w:sz w:val="19"/>
                <w:szCs w:val="19"/>
              </w:rPr>
              <w:t xml:space="preserve"> adaptable for everyone</w:t>
            </w:r>
          </w:p>
          <w:p w14:paraId="006630FC" w14:textId="6C09638C" w:rsidR="00E60AD3" w:rsidRDefault="00000000">
            <w:pPr>
              <w:spacing w:after="40"/>
            </w:pPr>
            <w:r>
              <w:rPr>
                <w:rFonts w:ascii="Arial" w:eastAsia="Arial" w:hAnsi="Arial" w:cs="Arial"/>
                <w:color w:val="555555"/>
                <w:sz w:val="19"/>
                <w:szCs w:val="19"/>
              </w:rPr>
              <w:t>• Structured integration</w:t>
            </w:r>
            <w:r w:rsidR="003F5E72">
              <w:rPr>
                <w:rFonts w:ascii="Arial" w:eastAsia="Arial" w:hAnsi="Arial" w:cs="Arial"/>
                <w:color w:val="555555"/>
                <w:sz w:val="19"/>
                <w:szCs w:val="19"/>
              </w:rPr>
              <w:t>,</w:t>
            </w:r>
            <w:r>
              <w:rPr>
                <w:rFonts w:ascii="Arial" w:eastAsia="Arial" w:hAnsi="Arial" w:cs="Arial"/>
                <w:color w:val="555555"/>
                <w:sz w:val="19"/>
                <w:szCs w:val="19"/>
              </w:rPr>
              <w:t xml:space="preserve"> not fragmented advice</w:t>
            </w:r>
          </w:p>
          <w:p w14:paraId="6B71F3D5" w14:textId="0D493539" w:rsidR="00E60AD3" w:rsidRDefault="00000000">
            <w:pPr>
              <w:spacing w:after="40"/>
            </w:pPr>
            <w:r>
              <w:rPr>
                <w:rFonts w:ascii="Arial" w:eastAsia="Arial" w:hAnsi="Arial" w:cs="Arial"/>
                <w:color w:val="555555"/>
                <w:sz w:val="19"/>
                <w:szCs w:val="19"/>
              </w:rPr>
              <w:t>• Gradual progression</w:t>
            </w:r>
            <w:r w:rsidR="009F794C">
              <w:rPr>
                <w:rFonts w:ascii="Arial" w:eastAsia="Arial" w:hAnsi="Arial" w:cs="Arial"/>
                <w:color w:val="555555"/>
                <w:sz w:val="19"/>
                <w:szCs w:val="19"/>
              </w:rPr>
              <w:t>,</w:t>
            </w:r>
            <w:r>
              <w:rPr>
                <w:rFonts w:ascii="Arial" w:eastAsia="Arial" w:hAnsi="Arial" w:cs="Arial"/>
                <w:color w:val="555555"/>
                <w:sz w:val="19"/>
                <w:szCs w:val="19"/>
              </w:rPr>
              <w:t xml:space="preserve"> prevents overwhelm and re-traumatization</w:t>
            </w:r>
          </w:p>
          <w:p w14:paraId="0DA42CBE" w14:textId="77777777" w:rsidR="00E60AD3" w:rsidRDefault="00000000">
            <w:pPr>
              <w:spacing w:after="40"/>
            </w:pPr>
            <w:r>
              <w:rPr>
                <w:rFonts w:ascii="Arial" w:eastAsia="Arial" w:hAnsi="Arial" w:cs="Arial"/>
                <w:color w:val="555555"/>
                <w:sz w:val="19"/>
                <w:szCs w:val="19"/>
              </w:rPr>
              <w:t>• Trauma-informed pacing throughout</w:t>
            </w:r>
          </w:p>
        </w:tc>
        <w:tc>
          <w:tcPr>
            <w:tcW w:w="4680" w:type="dxa"/>
            <w:tcBorders>
              <w:top w:val="single" w:sz="1" w:space="0" w:color="D4B8C8"/>
              <w:left w:val="single" w:sz="1" w:space="0" w:color="D4B8C8"/>
              <w:bottom w:val="single" w:sz="1" w:space="0" w:color="D4B8C8"/>
              <w:right w:val="single" w:sz="1" w:space="0" w:color="D4B8C8"/>
            </w:tcBorders>
            <w:tcMar>
              <w:top w:w="80" w:type="dxa"/>
              <w:left w:w="120" w:type="dxa"/>
              <w:bottom w:w="80" w:type="dxa"/>
              <w:right w:w="120" w:type="dxa"/>
            </w:tcMar>
          </w:tcPr>
          <w:p w14:paraId="6E552859" w14:textId="77777777" w:rsidR="00E60AD3" w:rsidRDefault="00000000">
            <w:pPr>
              <w:spacing w:after="60"/>
            </w:pPr>
            <w:r>
              <w:rPr>
                <w:rFonts w:ascii="Arial" w:eastAsia="Arial" w:hAnsi="Arial" w:cs="Arial"/>
                <w:b/>
                <w:bCs/>
                <w:color w:val="5B1F4A"/>
              </w:rPr>
              <w:t>What It Produces</w:t>
            </w:r>
          </w:p>
          <w:p w14:paraId="53F9C86E" w14:textId="77777777" w:rsidR="00E60AD3" w:rsidRDefault="00000000">
            <w:pPr>
              <w:spacing w:after="40"/>
            </w:pPr>
            <w:r>
              <w:rPr>
                <w:rFonts w:ascii="Arial" w:eastAsia="Arial" w:hAnsi="Arial" w:cs="Arial"/>
                <w:color w:val="555555"/>
                <w:sz w:val="19"/>
                <w:szCs w:val="19"/>
              </w:rPr>
              <w:t>• Communication that holds up under pressure</w:t>
            </w:r>
          </w:p>
          <w:p w14:paraId="308B0598" w14:textId="77777777" w:rsidR="00E60AD3" w:rsidRDefault="00000000">
            <w:pPr>
              <w:spacing w:after="40"/>
            </w:pPr>
            <w:r>
              <w:rPr>
                <w:rFonts w:ascii="Arial" w:eastAsia="Arial" w:hAnsi="Arial" w:cs="Arial"/>
                <w:color w:val="555555"/>
                <w:sz w:val="19"/>
                <w:szCs w:val="19"/>
              </w:rPr>
              <w:t>• Conflict repair that builds trust instead of eroding it</w:t>
            </w:r>
          </w:p>
          <w:p w14:paraId="606265B1" w14:textId="77777777" w:rsidR="00E60AD3" w:rsidRDefault="00000000">
            <w:pPr>
              <w:spacing w:after="40"/>
            </w:pPr>
            <w:r>
              <w:rPr>
                <w:rFonts w:ascii="Arial" w:eastAsia="Arial" w:hAnsi="Arial" w:cs="Arial"/>
                <w:color w:val="555555"/>
                <w:sz w:val="19"/>
                <w:szCs w:val="19"/>
              </w:rPr>
              <w:t>• Consent literacy and genuine boundary authority</w:t>
            </w:r>
          </w:p>
          <w:p w14:paraId="39E43076" w14:textId="77777777" w:rsidR="00E60AD3" w:rsidRDefault="00000000">
            <w:pPr>
              <w:spacing w:after="40"/>
            </w:pPr>
            <w:r>
              <w:rPr>
                <w:rFonts w:ascii="Arial" w:eastAsia="Arial" w:hAnsi="Arial" w:cs="Arial"/>
                <w:color w:val="555555"/>
                <w:sz w:val="19"/>
                <w:szCs w:val="19"/>
              </w:rPr>
              <w:t>• Relational leadership and emotional regulation</w:t>
            </w:r>
          </w:p>
          <w:p w14:paraId="0223EDB2" w14:textId="77777777" w:rsidR="00E60AD3" w:rsidRDefault="00000000">
            <w:pPr>
              <w:spacing w:after="40"/>
            </w:pPr>
            <w:r>
              <w:rPr>
                <w:rFonts w:ascii="Arial" w:eastAsia="Arial" w:hAnsi="Arial" w:cs="Arial"/>
                <w:color w:val="555555"/>
                <w:sz w:val="19"/>
                <w:szCs w:val="19"/>
              </w:rPr>
              <w:t>• Something worth passing on to the next generation</w:t>
            </w:r>
          </w:p>
        </w:tc>
      </w:tr>
    </w:tbl>
    <w:p w14:paraId="584CA610" w14:textId="77777777" w:rsidR="00E60AD3" w:rsidRDefault="00000000">
      <w:pPr>
        <w:pBdr>
          <w:bottom w:val="single" w:sz="2" w:space="3" w:color="D4B8C8"/>
        </w:pBdr>
        <w:spacing w:before="200" w:after="80"/>
      </w:pPr>
      <w:r>
        <w:rPr>
          <w:rFonts w:ascii="Arial" w:eastAsia="Arial" w:hAnsi="Arial" w:cs="Arial"/>
          <w:b/>
          <w:bCs/>
          <w:color w:val="5B1F4A"/>
          <w:sz w:val="22"/>
          <w:szCs w:val="22"/>
        </w:rPr>
        <w:t>Why Relationships Are Systems, Not Events</w:t>
      </w:r>
    </w:p>
    <w:p w14:paraId="0F8B8856" w14:textId="77777777" w:rsidR="00E60AD3" w:rsidRDefault="00000000">
      <w:pPr>
        <w:spacing w:after="80"/>
      </w:pPr>
      <w:r>
        <w:rPr>
          <w:rFonts w:ascii="Arial" w:eastAsia="Arial" w:hAnsi="Arial" w:cs="Arial"/>
          <w:color w:val="555555"/>
        </w:rPr>
        <w:t xml:space="preserve">Most relationship struggles are not caused by a single issue but by misaligned priorities, unmanaged stress, poor communication habits, and unexamined patterns learned early in life. A year-long structure allows participants to identify bottlenecks, test new behaviors, </w:t>
      </w:r>
      <w:proofErr w:type="gramStart"/>
      <w:r>
        <w:rPr>
          <w:rFonts w:ascii="Arial" w:eastAsia="Arial" w:hAnsi="Arial" w:cs="Arial"/>
          <w:color w:val="555555"/>
        </w:rPr>
        <w:t>course-correct</w:t>
      </w:r>
      <w:proofErr w:type="gramEnd"/>
      <w:r>
        <w:rPr>
          <w:rFonts w:ascii="Arial" w:eastAsia="Arial" w:hAnsi="Arial" w:cs="Arial"/>
          <w:color w:val="555555"/>
        </w:rPr>
        <w:t xml:space="preserve"> safely, and build durable habits over time.</w:t>
      </w:r>
    </w:p>
    <w:p w14:paraId="76F9FA85" w14:textId="77777777" w:rsidR="00E60AD3" w:rsidRDefault="00000000">
      <w:pPr>
        <w:spacing w:after="80"/>
      </w:pPr>
      <w:r>
        <w:rPr>
          <w:rFonts w:ascii="Arial" w:eastAsia="Arial" w:hAnsi="Arial" w:cs="Arial"/>
          <w:color w:val="555555"/>
        </w:rPr>
        <w:t>Topics like budgeting, time management, and stress regulation are included because they are common points of relational conflict — shared resources that when unmanaged create resentment and power imbalances. Relationships affect every area of life. The curriculum reflects that reality.</w:t>
      </w:r>
    </w:p>
    <w:p w14:paraId="6F0CB1C1" w14:textId="77777777" w:rsidR="00E60AD3" w:rsidRDefault="00000000">
      <w:pPr>
        <w:pBdr>
          <w:bottom w:val="single" w:sz="2" w:space="3" w:color="D4B8C8"/>
        </w:pBdr>
        <w:spacing w:before="200" w:after="80"/>
      </w:pPr>
      <w:r>
        <w:rPr>
          <w:rFonts w:ascii="Arial" w:eastAsia="Arial" w:hAnsi="Arial" w:cs="Arial"/>
          <w:b/>
          <w:bCs/>
          <w:color w:val="5B1F4A"/>
          <w:sz w:val="22"/>
          <w:szCs w:val="22"/>
        </w:rPr>
        <w:t>The Six Phases</w:t>
      </w:r>
    </w:p>
    <w:p w14:paraId="550C399D" w14:textId="77777777" w:rsidR="00E60AD3" w:rsidRDefault="00E60AD3">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31"/>
        <w:gridCol w:w="2177"/>
        <w:gridCol w:w="6452"/>
      </w:tblGrid>
      <w:tr w:rsidR="00E60AD3" w14:paraId="02CE5E82" w14:textId="77777777">
        <w:tblPrEx>
          <w:tblCellMar>
            <w:top w:w="0" w:type="dxa"/>
            <w:bottom w:w="0" w:type="dxa"/>
          </w:tblCellMar>
        </w:tblPrEx>
        <w:trPr>
          <w:tblHeader/>
        </w:trPr>
        <w:tc>
          <w:tcPr>
            <w:tcW w:w="6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510B29A8" w14:textId="77777777" w:rsidR="00E60AD3" w:rsidRDefault="00000000">
            <w:r>
              <w:rPr>
                <w:rFonts w:ascii="Arial" w:eastAsia="Arial" w:hAnsi="Arial" w:cs="Arial"/>
                <w:b/>
                <w:bCs/>
                <w:color w:val="FFFFFF"/>
                <w:sz w:val="18"/>
                <w:szCs w:val="18"/>
              </w:rPr>
              <w:t>Phase</w:t>
            </w:r>
          </w:p>
        </w:tc>
        <w:tc>
          <w:tcPr>
            <w:tcW w:w="22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3449E1E8" w14:textId="77777777" w:rsidR="00E60AD3" w:rsidRDefault="00000000">
            <w:r>
              <w:rPr>
                <w:rFonts w:ascii="Arial" w:eastAsia="Arial" w:hAnsi="Arial" w:cs="Arial"/>
                <w:b/>
                <w:bCs/>
                <w:color w:val="FFFFFF"/>
                <w:sz w:val="18"/>
                <w:szCs w:val="18"/>
              </w:rPr>
              <w:t>Name</w:t>
            </w:r>
          </w:p>
        </w:tc>
        <w:tc>
          <w:tcPr>
            <w:tcW w:w="656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116C4CE3" w14:textId="77777777" w:rsidR="00E60AD3" w:rsidRDefault="00000000">
            <w:r>
              <w:rPr>
                <w:rFonts w:ascii="Arial" w:eastAsia="Arial" w:hAnsi="Arial" w:cs="Arial"/>
                <w:b/>
                <w:bCs/>
                <w:color w:val="FFFFFF"/>
                <w:sz w:val="18"/>
                <w:szCs w:val="18"/>
              </w:rPr>
              <w:t>Focus</w:t>
            </w:r>
          </w:p>
        </w:tc>
      </w:tr>
      <w:tr w:rsidR="00E60AD3" w14:paraId="2735E4C7" w14:textId="77777777">
        <w:tblPrEx>
          <w:tblCellMar>
            <w:top w:w="0" w:type="dxa"/>
            <w:bottom w:w="0" w:type="dxa"/>
          </w:tblCellMar>
        </w:tblPrEx>
        <w:tc>
          <w:tcPr>
            <w:tcW w:w="6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20C63FD" w14:textId="77777777" w:rsidR="00E60AD3" w:rsidRDefault="00000000">
            <w:r>
              <w:rPr>
                <w:rFonts w:ascii="Arial" w:eastAsia="Arial" w:hAnsi="Arial" w:cs="Arial"/>
                <w:b/>
                <w:bCs/>
                <w:color w:val="5B1F4A"/>
                <w:sz w:val="18"/>
                <w:szCs w:val="18"/>
              </w:rPr>
              <w:t>I</w:t>
            </w:r>
          </w:p>
        </w:tc>
        <w:tc>
          <w:tcPr>
            <w:tcW w:w="22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064B4AE" w14:textId="77777777" w:rsidR="00E60AD3" w:rsidRDefault="00000000">
            <w:r>
              <w:rPr>
                <w:rFonts w:ascii="Arial" w:eastAsia="Arial" w:hAnsi="Arial" w:cs="Arial"/>
                <w:color w:val="555555"/>
                <w:sz w:val="18"/>
                <w:szCs w:val="18"/>
              </w:rPr>
              <w:t>Discovery Quest</w:t>
            </w:r>
          </w:p>
        </w:tc>
        <w:tc>
          <w:tcPr>
            <w:tcW w:w="6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2746AE6" w14:textId="77777777" w:rsidR="00E60AD3" w:rsidRDefault="00000000">
            <w:r>
              <w:rPr>
                <w:rFonts w:ascii="Arial" w:eastAsia="Arial" w:hAnsi="Arial" w:cs="Arial"/>
                <w:color w:val="555555"/>
                <w:sz w:val="18"/>
                <w:szCs w:val="18"/>
              </w:rPr>
              <w:t>Understanding current patterns, beliefs, and relational conditioning inherited before you ever chose them</w:t>
            </w:r>
          </w:p>
        </w:tc>
      </w:tr>
      <w:tr w:rsidR="00E60AD3" w14:paraId="6436B4C3" w14:textId="77777777">
        <w:tblPrEx>
          <w:tblCellMar>
            <w:top w:w="0" w:type="dxa"/>
            <w:bottom w:w="0" w:type="dxa"/>
          </w:tblCellMar>
        </w:tblPrEx>
        <w:tc>
          <w:tcPr>
            <w:tcW w:w="6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9967D5C" w14:textId="77777777" w:rsidR="00E60AD3" w:rsidRDefault="00000000">
            <w:r>
              <w:rPr>
                <w:rFonts w:ascii="Arial" w:eastAsia="Arial" w:hAnsi="Arial" w:cs="Arial"/>
                <w:b/>
                <w:bCs/>
                <w:color w:val="5B1F4A"/>
                <w:sz w:val="18"/>
                <w:szCs w:val="18"/>
              </w:rPr>
              <w:t>II</w:t>
            </w:r>
          </w:p>
        </w:tc>
        <w:tc>
          <w:tcPr>
            <w:tcW w:w="22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D540ECE" w14:textId="77777777" w:rsidR="00E60AD3" w:rsidRDefault="00000000">
            <w:r>
              <w:rPr>
                <w:rFonts w:ascii="Arial" w:eastAsia="Arial" w:hAnsi="Arial" w:cs="Arial"/>
                <w:color w:val="555555"/>
                <w:sz w:val="18"/>
                <w:szCs w:val="18"/>
              </w:rPr>
              <w:t>Readiness Run</w:t>
            </w:r>
          </w:p>
        </w:tc>
        <w:tc>
          <w:tcPr>
            <w:tcW w:w="6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CC8F39E" w14:textId="77777777" w:rsidR="00E60AD3" w:rsidRDefault="00000000">
            <w:r>
              <w:rPr>
                <w:rFonts w:ascii="Arial" w:eastAsia="Arial" w:hAnsi="Arial" w:cs="Arial"/>
                <w:color w:val="555555"/>
                <w:sz w:val="18"/>
                <w:szCs w:val="18"/>
              </w:rPr>
              <w:t>Building internal stability, emotional capacity, and genuine accountability before deeper engagement</w:t>
            </w:r>
          </w:p>
        </w:tc>
      </w:tr>
      <w:tr w:rsidR="00E60AD3" w14:paraId="4E8F300A" w14:textId="77777777">
        <w:tblPrEx>
          <w:tblCellMar>
            <w:top w:w="0" w:type="dxa"/>
            <w:bottom w:w="0" w:type="dxa"/>
          </w:tblCellMar>
        </w:tblPrEx>
        <w:tc>
          <w:tcPr>
            <w:tcW w:w="6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1C177CE" w14:textId="77777777" w:rsidR="00E60AD3" w:rsidRDefault="00000000">
            <w:r>
              <w:rPr>
                <w:rFonts w:ascii="Arial" w:eastAsia="Arial" w:hAnsi="Arial" w:cs="Arial"/>
                <w:b/>
                <w:bCs/>
                <w:color w:val="5B1F4A"/>
                <w:sz w:val="18"/>
                <w:szCs w:val="18"/>
              </w:rPr>
              <w:t>III</w:t>
            </w:r>
          </w:p>
        </w:tc>
        <w:tc>
          <w:tcPr>
            <w:tcW w:w="22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61DE0F2" w14:textId="77777777" w:rsidR="00E60AD3" w:rsidRDefault="00000000">
            <w:r>
              <w:rPr>
                <w:rFonts w:ascii="Arial" w:eastAsia="Arial" w:hAnsi="Arial" w:cs="Arial"/>
                <w:color w:val="555555"/>
                <w:sz w:val="18"/>
                <w:szCs w:val="18"/>
              </w:rPr>
              <w:t>Knighthood</w:t>
            </w:r>
          </w:p>
        </w:tc>
        <w:tc>
          <w:tcPr>
            <w:tcW w:w="6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34B65DB" w14:textId="77777777" w:rsidR="00E60AD3" w:rsidRDefault="00000000">
            <w:r>
              <w:rPr>
                <w:rFonts w:ascii="Arial" w:eastAsia="Arial" w:hAnsi="Arial" w:cs="Arial"/>
                <w:color w:val="555555"/>
                <w:sz w:val="18"/>
                <w:szCs w:val="18"/>
              </w:rPr>
              <w:t>Relational leadership, accountability to others, conflict navigation, and relational integrity</w:t>
            </w:r>
          </w:p>
        </w:tc>
      </w:tr>
      <w:tr w:rsidR="00E60AD3" w14:paraId="6D59BD86" w14:textId="77777777">
        <w:tblPrEx>
          <w:tblCellMar>
            <w:top w:w="0" w:type="dxa"/>
            <w:bottom w:w="0" w:type="dxa"/>
          </w:tblCellMar>
        </w:tblPrEx>
        <w:tc>
          <w:tcPr>
            <w:tcW w:w="6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632D349" w14:textId="77777777" w:rsidR="00E60AD3" w:rsidRDefault="00000000">
            <w:r>
              <w:rPr>
                <w:rFonts w:ascii="Arial" w:eastAsia="Arial" w:hAnsi="Arial" w:cs="Arial"/>
                <w:b/>
                <w:bCs/>
                <w:color w:val="5B1F4A"/>
                <w:sz w:val="18"/>
                <w:szCs w:val="18"/>
              </w:rPr>
              <w:t>IV</w:t>
            </w:r>
          </w:p>
        </w:tc>
        <w:tc>
          <w:tcPr>
            <w:tcW w:w="22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6E087B0" w14:textId="77777777" w:rsidR="00E60AD3" w:rsidRDefault="00000000">
            <w:r>
              <w:rPr>
                <w:rFonts w:ascii="Arial" w:eastAsia="Arial" w:hAnsi="Arial" w:cs="Arial"/>
                <w:color w:val="555555"/>
                <w:sz w:val="18"/>
                <w:szCs w:val="18"/>
              </w:rPr>
              <w:t>Pleasure Protocols</w:t>
            </w:r>
          </w:p>
        </w:tc>
        <w:tc>
          <w:tcPr>
            <w:tcW w:w="6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EC2418E" w14:textId="77777777" w:rsidR="00E60AD3" w:rsidRDefault="00000000">
            <w:r>
              <w:rPr>
                <w:rFonts w:ascii="Arial" w:eastAsia="Arial" w:hAnsi="Arial" w:cs="Arial"/>
                <w:color w:val="555555"/>
                <w:sz w:val="18"/>
                <w:szCs w:val="18"/>
              </w:rPr>
              <w:t>Healthy connection, consent literacy, desire articulation, intimacy, and co-created safety</w:t>
            </w:r>
          </w:p>
        </w:tc>
      </w:tr>
      <w:tr w:rsidR="00E60AD3" w14:paraId="4B595C30" w14:textId="77777777">
        <w:tblPrEx>
          <w:tblCellMar>
            <w:top w:w="0" w:type="dxa"/>
            <w:bottom w:w="0" w:type="dxa"/>
          </w:tblCellMar>
        </w:tblPrEx>
        <w:tc>
          <w:tcPr>
            <w:tcW w:w="6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6C8AED3" w14:textId="77777777" w:rsidR="00E60AD3" w:rsidRDefault="00000000">
            <w:r>
              <w:rPr>
                <w:rFonts w:ascii="Arial" w:eastAsia="Arial" w:hAnsi="Arial" w:cs="Arial"/>
                <w:b/>
                <w:bCs/>
                <w:color w:val="5B1F4A"/>
                <w:sz w:val="18"/>
                <w:szCs w:val="18"/>
              </w:rPr>
              <w:t>V</w:t>
            </w:r>
          </w:p>
        </w:tc>
        <w:tc>
          <w:tcPr>
            <w:tcW w:w="22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BE792EA" w14:textId="77777777" w:rsidR="00E60AD3" w:rsidRDefault="00000000">
            <w:r>
              <w:rPr>
                <w:rFonts w:ascii="Arial" w:eastAsia="Arial" w:hAnsi="Arial" w:cs="Arial"/>
                <w:color w:val="555555"/>
                <w:sz w:val="18"/>
                <w:szCs w:val="18"/>
              </w:rPr>
              <w:t>Ascension</w:t>
            </w:r>
          </w:p>
        </w:tc>
        <w:tc>
          <w:tcPr>
            <w:tcW w:w="6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DFC1909" w14:textId="77777777" w:rsidR="00E60AD3" w:rsidRDefault="00000000">
            <w:r>
              <w:rPr>
                <w:rFonts w:ascii="Arial" w:eastAsia="Arial" w:hAnsi="Arial" w:cs="Arial"/>
                <w:color w:val="555555"/>
                <w:sz w:val="18"/>
                <w:szCs w:val="18"/>
              </w:rPr>
              <w:t>Integration — bringing learned skills into daily life, habit formation, and sustainable systems</w:t>
            </w:r>
          </w:p>
        </w:tc>
      </w:tr>
      <w:tr w:rsidR="00E60AD3" w14:paraId="356938A7" w14:textId="77777777">
        <w:tblPrEx>
          <w:tblCellMar>
            <w:top w:w="0" w:type="dxa"/>
            <w:bottom w:w="0" w:type="dxa"/>
          </w:tblCellMar>
        </w:tblPrEx>
        <w:tc>
          <w:tcPr>
            <w:tcW w:w="6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E328942" w14:textId="77777777" w:rsidR="00E60AD3" w:rsidRDefault="00000000">
            <w:r>
              <w:rPr>
                <w:rFonts w:ascii="Arial" w:eastAsia="Arial" w:hAnsi="Arial" w:cs="Arial"/>
                <w:b/>
                <w:bCs/>
                <w:color w:val="5B1F4A"/>
                <w:sz w:val="18"/>
                <w:szCs w:val="18"/>
              </w:rPr>
              <w:t>VI</w:t>
            </w:r>
          </w:p>
        </w:tc>
        <w:tc>
          <w:tcPr>
            <w:tcW w:w="22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3C8916D" w14:textId="77777777" w:rsidR="00E60AD3" w:rsidRDefault="00000000">
            <w:r>
              <w:rPr>
                <w:rFonts w:ascii="Arial" w:eastAsia="Arial" w:hAnsi="Arial" w:cs="Arial"/>
                <w:color w:val="555555"/>
                <w:sz w:val="18"/>
                <w:szCs w:val="18"/>
              </w:rPr>
              <w:t>Mastery</w:t>
            </w:r>
          </w:p>
        </w:tc>
        <w:tc>
          <w:tcPr>
            <w:tcW w:w="6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07FE461" w14:textId="77777777" w:rsidR="00E60AD3" w:rsidRDefault="00000000">
            <w:r>
              <w:rPr>
                <w:rFonts w:ascii="Arial" w:eastAsia="Arial" w:hAnsi="Arial" w:cs="Arial"/>
                <w:color w:val="555555"/>
                <w:sz w:val="18"/>
                <w:szCs w:val="18"/>
              </w:rPr>
              <w:t>Sustaining growth, mentorship mindset, and generational knowledge worth passing on</w:t>
            </w:r>
          </w:p>
        </w:tc>
      </w:tr>
    </w:tbl>
    <w:p w14:paraId="20AF2939" w14:textId="77777777" w:rsidR="00E60AD3" w:rsidRDefault="00000000">
      <w:pPr>
        <w:pBdr>
          <w:bottom w:val="single" w:sz="2" w:space="3" w:color="D4B8C8"/>
        </w:pBdr>
        <w:spacing w:before="200" w:after="80"/>
      </w:pPr>
      <w:r>
        <w:rPr>
          <w:rFonts w:ascii="Arial" w:eastAsia="Arial" w:hAnsi="Arial" w:cs="Arial"/>
          <w:b/>
          <w:bCs/>
          <w:color w:val="5B1F4A"/>
          <w:sz w:val="22"/>
          <w:szCs w:val="22"/>
        </w:rPr>
        <w:lastRenderedPageBreak/>
        <w:t>The 12-Stage Arc</w:t>
      </w:r>
    </w:p>
    <w:p w14:paraId="7ACD3F47" w14:textId="77777777" w:rsidR="00E60AD3" w:rsidRDefault="00E60AD3">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160"/>
        <w:gridCol w:w="4800"/>
      </w:tblGrid>
      <w:tr w:rsidR="00E60AD3" w14:paraId="7437D655" w14:textId="77777777">
        <w:tblPrEx>
          <w:tblCellMar>
            <w:top w:w="0" w:type="dxa"/>
            <w:bottom w:w="0" w:type="dxa"/>
          </w:tblCellMar>
        </w:tblPrEx>
        <w:trPr>
          <w:tblHeader/>
        </w:trPr>
        <w:tc>
          <w:tcPr>
            <w:tcW w:w="24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2F018340" w14:textId="77777777" w:rsidR="00E60AD3" w:rsidRDefault="00000000">
            <w:r>
              <w:rPr>
                <w:rFonts w:ascii="Arial" w:eastAsia="Arial" w:hAnsi="Arial" w:cs="Arial"/>
                <w:b/>
                <w:bCs/>
                <w:color w:val="FFFFFF"/>
                <w:sz w:val="18"/>
                <w:szCs w:val="18"/>
              </w:rPr>
              <w:t>Act</w:t>
            </w:r>
          </w:p>
        </w:tc>
        <w:tc>
          <w:tcPr>
            <w:tcW w:w="216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6814FCD9" w14:textId="77777777" w:rsidR="00E60AD3" w:rsidRDefault="00000000">
            <w:r>
              <w:rPr>
                <w:rFonts w:ascii="Arial" w:eastAsia="Arial" w:hAnsi="Arial" w:cs="Arial"/>
                <w:b/>
                <w:bCs/>
                <w:color w:val="FFFFFF"/>
                <w:sz w:val="18"/>
                <w:szCs w:val="18"/>
              </w:rPr>
              <w:t>Chapters</w:t>
            </w:r>
          </w:p>
        </w:tc>
        <w:tc>
          <w:tcPr>
            <w:tcW w:w="48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0834FF6E" w14:textId="77777777" w:rsidR="00E60AD3" w:rsidRDefault="00000000">
            <w:r>
              <w:rPr>
                <w:rFonts w:ascii="Arial" w:eastAsia="Arial" w:hAnsi="Arial" w:cs="Arial"/>
                <w:b/>
                <w:bCs/>
                <w:color w:val="FFFFFF"/>
                <w:sz w:val="18"/>
                <w:szCs w:val="18"/>
              </w:rPr>
              <w:t>Journey</w:t>
            </w:r>
          </w:p>
        </w:tc>
      </w:tr>
      <w:tr w:rsidR="00E60AD3" w14:paraId="32CABF1B"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D265DA3" w14:textId="77777777" w:rsidR="00E60AD3" w:rsidRDefault="00000000">
            <w:r>
              <w:rPr>
                <w:rFonts w:ascii="Arial" w:eastAsia="Arial" w:hAnsi="Arial" w:cs="Arial"/>
                <w:b/>
                <w:bCs/>
                <w:color w:val="5B1F4A"/>
                <w:sz w:val="18"/>
                <w:szCs w:val="18"/>
              </w:rPr>
              <w:t>Act 1 — Awakening</w:t>
            </w:r>
          </w:p>
        </w:tc>
        <w:tc>
          <w:tcPr>
            <w:tcW w:w="2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3E2F946" w14:textId="77777777" w:rsidR="00E60AD3" w:rsidRDefault="00000000">
            <w:r>
              <w:rPr>
                <w:rFonts w:ascii="Arial" w:eastAsia="Arial" w:hAnsi="Arial" w:cs="Arial"/>
                <w:color w:val="555555"/>
                <w:sz w:val="18"/>
                <w:szCs w:val="18"/>
              </w:rPr>
              <w:t>Ch. 1–3</w:t>
            </w:r>
          </w:p>
        </w:tc>
        <w:tc>
          <w:tcPr>
            <w:tcW w:w="4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581E213" w14:textId="77777777" w:rsidR="00E60AD3" w:rsidRDefault="00000000">
            <w:r>
              <w:rPr>
                <w:rFonts w:ascii="Arial" w:eastAsia="Arial" w:hAnsi="Arial" w:cs="Arial"/>
                <w:color w:val="555555"/>
                <w:sz w:val="18"/>
                <w:szCs w:val="18"/>
              </w:rPr>
              <w:t>Separation → Answering the Call → The Mirror Trial</w:t>
            </w:r>
          </w:p>
        </w:tc>
      </w:tr>
      <w:tr w:rsidR="00E60AD3" w14:paraId="40ACCAA9"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7123E3C" w14:textId="77777777" w:rsidR="00E60AD3" w:rsidRDefault="00000000">
            <w:r>
              <w:rPr>
                <w:rFonts w:ascii="Arial" w:eastAsia="Arial" w:hAnsi="Arial" w:cs="Arial"/>
                <w:b/>
                <w:bCs/>
                <w:color w:val="5B1F4A"/>
                <w:sz w:val="18"/>
                <w:szCs w:val="18"/>
              </w:rPr>
              <w:t>Act 2 — Transformation</w:t>
            </w:r>
          </w:p>
        </w:tc>
        <w:tc>
          <w:tcPr>
            <w:tcW w:w="2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1EA4BF5" w14:textId="77777777" w:rsidR="00E60AD3" w:rsidRDefault="00000000">
            <w:r>
              <w:rPr>
                <w:rFonts w:ascii="Arial" w:eastAsia="Arial" w:hAnsi="Arial" w:cs="Arial"/>
                <w:color w:val="555555"/>
                <w:sz w:val="18"/>
                <w:szCs w:val="18"/>
              </w:rPr>
              <w:t>Ch. 4–7</w:t>
            </w:r>
          </w:p>
        </w:tc>
        <w:tc>
          <w:tcPr>
            <w:tcW w:w="4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470A669" w14:textId="77777777" w:rsidR="00E60AD3" w:rsidRDefault="00000000">
            <w:r>
              <w:rPr>
                <w:rFonts w:ascii="Arial" w:eastAsia="Arial" w:hAnsi="Arial" w:cs="Arial"/>
                <w:color w:val="555555"/>
                <w:sz w:val="18"/>
                <w:szCs w:val="18"/>
              </w:rPr>
              <w:t>Road of Trials → The Forge → Commitment Threshold → The Shadow Advances</w:t>
            </w:r>
          </w:p>
        </w:tc>
      </w:tr>
      <w:tr w:rsidR="00E60AD3" w14:paraId="4EDCA6F6" w14:textId="77777777">
        <w:tblPrEx>
          <w:tblCellMar>
            <w:top w:w="0" w:type="dxa"/>
            <w:bottom w:w="0" w:type="dxa"/>
          </w:tblCellMar>
        </w:tblPrEx>
        <w:tc>
          <w:tcPr>
            <w:tcW w:w="24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FE78EEF" w14:textId="77777777" w:rsidR="00E60AD3" w:rsidRDefault="00000000">
            <w:r>
              <w:rPr>
                <w:rFonts w:ascii="Arial" w:eastAsia="Arial" w:hAnsi="Arial" w:cs="Arial"/>
                <w:b/>
                <w:bCs/>
                <w:color w:val="5B1F4A"/>
                <w:sz w:val="18"/>
                <w:szCs w:val="18"/>
              </w:rPr>
              <w:t>Act 3 — Embodiment</w:t>
            </w:r>
          </w:p>
        </w:tc>
        <w:tc>
          <w:tcPr>
            <w:tcW w:w="2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16342FD" w14:textId="77777777" w:rsidR="00E60AD3" w:rsidRDefault="00000000">
            <w:r>
              <w:rPr>
                <w:rFonts w:ascii="Arial" w:eastAsia="Arial" w:hAnsi="Arial" w:cs="Arial"/>
                <w:color w:val="555555"/>
                <w:sz w:val="18"/>
                <w:szCs w:val="18"/>
              </w:rPr>
              <w:t>Ch. 8–12</w:t>
            </w:r>
          </w:p>
        </w:tc>
        <w:tc>
          <w:tcPr>
            <w:tcW w:w="4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80DA76C" w14:textId="77777777" w:rsidR="00E60AD3" w:rsidRDefault="00000000">
            <w:r>
              <w:rPr>
                <w:rFonts w:ascii="Arial" w:eastAsia="Arial" w:hAnsi="Arial" w:cs="Arial"/>
                <w:color w:val="555555"/>
                <w:sz w:val="18"/>
                <w:szCs w:val="18"/>
              </w:rPr>
              <w:t>Knighthood → Pleasure Protocols → The Reward → Master of Two Worlds → Return with the Elixir</w:t>
            </w:r>
          </w:p>
        </w:tc>
      </w:tr>
    </w:tbl>
    <w:p w14:paraId="01FE0536" w14:textId="77777777" w:rsidR="00E60AD3" w:rsidRDefault="00000000">
      <w:pPr>
        <w:spacing w:after="60"/>
      </w:pPr>
      <w:r>
        <w:rPr>
          <w:rFonts w:ascii="Arial" w:eastAsia="Arial" w:hAnsi="Arial" w:cs="Arial"/>
          <w:i/>
          <w:iCs/>
          <w:color w:val="5B1F4A"/>
        </w:rPr>
        <w:t>Your past is not your prison — it’s your prequel. Now you design your legacy.</w:t>
      </w:r>
    </w:p>
    <w:p w14:paraId="091A93EE" w14:textId="77777777" w:rsidR="00E60AD3" w:rsidRDefault="00000000">
      <w:pPr>
        <w:pBdr>
          <w:bottom w:val="single" w:sz="2" w:space="3" w:color="D4B8C8"/>
        </w:pBdr>
        <w:spacing w:before="200" w:after="80"/>
      </w:pPr>
      <w:r>
        <w:rPr>
          <w:rFonts w:ascii="Arial" w:eastAsia="Arial" w:hAnsi="Arial" w:cs="Arial"/>
          <w:b/>
          <w:bCs/>
          <w:color w:val="5B1F4A"/>
          <w:sz w:val="22"/>
          <w:szCs w:val="22"/>
        </w:rPr>
        <w:t>The Progression Arc</w:t>
      </w:r>
    </w:p>
    <w:p w14:paraId="5BA9C47D" w14:textId="77777777" w:rsidR="00E60AD3" w:rsidRDefault="00000000">
      <w:pPr>
        <w:pStyle w:val="ListParagraph"/>
        <w:numPr>
          <w:ilvl w:val="0"/>
          <w:numId w:val="2"/>
        </w:numPr>
        <w:spacing w:after="60"/>
      </w:pPr>
      <w:r>
        <w:rPr>
          <w:rFonts w:ascii="Arial" w:eastAsia="Arial" w:hAnsi="Arial" w:cs="Arial"/>
          <w:b/>
          <w:bCs/>
          <w:color w:val="555555"/>
        </w:rPr>
        <w:t>Awareness — unconscious patterns, inherited beliefs, call to growth</w:t>
      </w:r>
    </w:p>
    <w:p w14:paraId="1AE3D4A2" w14:textId="77777777" w:rsidR="00E60AD3" w:rsidRDefault="00000000">
      <w:pPr>
        <w:pStyle w:val="ListParagraph"/>
        <w:numPr>
          <w:ilvl w:val="0"/>
          <w:numId w:val="2"/>
        </w:numPr>
        <w:spacing w:after="60"/>
      </w:pPr>
      <w:r>
        <w:rPr>
          <w:rFonts w:ascii="Arial" w:eastAsia="Arial" w:hAnsi="Arial" w:cs="Arial"/>
          <w:color w:val="555555"/>
        </w:rPr>
        <w:t>Interaction — self-inventory, values, wounds, needs, communication basics</w:t>
      </w:r>
    </w:p>
    <w:p w14:paraId="3160FE41" w14:textId="77777777" w:rsidR="00E60AD3" w:rsidRDefault="00000000">
      <w:pPr>
        <w:pStyle w:val="ListParagraph"/>
        <w:numPr>
          <w:ilvl w:val="0"/>
          <w:numId w:val="2"/>
        </w:numPr>
        <w:spacing w:after="60"/>
      </w:pPr>
      <w:r>
        <w:rPr>
          <w:rFonts w:ascii="Arial" w:eastAsia="Arial" w:hAnsi="Arial" w:cs="Arial"/>
          <w:color w:val="555555"/>
        </w:rPr>
        <w:t>Intimacy — skill acquisition, boundaries, consent, emotional regulation</w:t>
      </w:r>
    </w:p>
    <w:p w14:paraId="7106CE50" w14:textId="77777777" w:rsidR="00E60AD3" w:rsidRDefault="00000000">
      <w:pPr>
        <w:pStyle w:val="ListParagraph"/>
        <w:numPr>
          <w:ilvl w:val="0"/>
          <w:numId w:val="2"/>
        </w:numPr>
        <w:spacing w:after="60"/>
      </w:pPr>
      <w:r>
        <w:rPr>
          <w:rFonts w:ascii="Arial" w:eastAsia="Arial" w:hAnsi="Arial" w:cs="Arial"/>
          <w:color w:val="555555"/>
        </w:rPr>
        <w:t>Leadership — testing and feedback, discernment, conscious partner selection</w:t>
      </w:r>
    </w:p>
    <w:p w14:paraId="2D25D6F0" w14:textId="77777777" w:rsidR="00E60AD3" w:rsidRDefault="00000000">
      <w:pPr>
        <w:pStyle w:val="ListParagraph"/>
        <w:numPr>
          <w:ilvl w:val="0"/>
          <w:numId w:val="2"/>
        </w:numPr>
        <w:spacing w:after="60"/>
      </w:pPr>
      <w:r>
        <w:rPr>
          <w:rFonts w:ascii="Arial" w:eastAsia="Arial" w:hAnsi="Arial" w:cs="Arial"/>
          <w:color w:val="555555"/>
        </w:rPr>
        <w:t>Modeling — commitment, co-creation, maintenance, repair, and legacy</w:t>
      </w:r>
    </w:p>
    <w:p w14:paraId="1FB3830A" w14:textId="77777777" w:rsidR="00E60AD3" w:rsidRDefault="00000000">
      <w:pPr>
        <w:pBdr>
          <w:bottom w:val="single" w:sz="2" w:space="3" w:color="D4B8C8"/>
        </w:pBdr>
        <w:spacing w:before="200" w:after="80"/>
      </w:pPr>
      <w:r>
        <w:rPr>
          <w:rFonts w:ascii="Arial" w:eastAsia="Arial" w:hAnsi="Arial" w:cs="Arial"/>
          <w:b/>
          <w:bCs/>
          <w:color w:val="5B1F4A"/>
          <w:sz w:val="22"/>
          <w:szCs w:val="22"/>
        </w:rPr>
        <w:t>Why This Matters Beyond the Individual</w:t>
      </w:r>
    </w:p>
    <w:p w14:paraId="44B6E5E8" w14:textId="77777777" w:rsidR="00E60AD3" w:rsidRDefault="00000000">
      <w:pPr>
        <w:spacing w:after="80"/>
      </w:pPr>
      <w:r>
        <w:rPr>
          <w:rFonts w:ascii="Arial" w:eastAsia="Arial" w:hAnsi="Arial" w:cs="Arial"/>
          <w:color w:val="555555"/>
        </w:rPr>
        <w:t>When individuals learn healthier relational skills, children observe different patterns, cycles of harm are interrupted, and communities become safer and more stable. Healthy relationships reduce avoidable strain on nonprofit crisis services, first responders, emergency systems, courts, family law, child services, and correctional institutions.</w:t>
      </w:r>
    </w:p>
    <w:p w14:paraId="379ED5DD" w14:textId="77777777" w:rsidR="00E60AD3" w:rsidRDefault="00000000">
      <w:pPr>
        <w:pBdr>
          <w:top w:val="single" w:sz="1" w:space="0" w:color="D4B8C8"/>
          <w:bottom w:val="single" w:sz="1" w:space="0" w:color="D4B8C8"/>
        </w:pBdr>
        <w:spacing w:before="140" w:after="140"/>
        <w:ind w:left="360" w:right="360"/>
      </w:pPr>
      <w:r>
        <w:rPr>
          <w:rFonts w:ascii="Arial" w:eastAsia="Arial" w:hAnsi="Arial" w:cs="Arial"/>
          <w:b/>
          <w:bCs/>
          <w:i/>
          <w:iCs/>
          <w:color w:val="5B1F4A"/>
        </w:rPr>
        <w:t>Relationship education functions as upstream prevention — supporting community well-being before harm occurs.</w:t>
      </w:r>
    </w:p>
    <w:p w14:paraId="637F5E4B" w14:textId="77777777" w:rsidR="00E60AD3" w:rsidRDefault="00000000">
      <w:pPr>
        <w:pBdr>
          <w:bottom w:val="single" w:sz="2" w:space="3" w:color="D4B8C8"/>
        </w:pBdr>
        <w:spacing w:before="200" w:after="80"/>
      </w:pPr>
      <w:r>
        <w:rPr>
          <w:rFonts w:ascii="Arial" w:eastAsia="Arial" w:hAnsi="Arial" w:cs="Arial"/>
          <w:b/>
          <w:bCs/>
          <w:color w:val="5B1F4A"/>
          <w:sz w:val="22"/>
          <w:szCs w:val="22"/>
        </w:rPr>
        <w:t>Delivery Formats</w:t>
      </w:r>
    </w:p>
    <w:p w14:paraId="28514960" w14:textId="77777777" w:rsidR="00E60AD3" w:rsidRDefault="00000000">
      <w:pPr>
        <w:pStyle w:val="ListParagraph"/>
        <w:numPr>
          <w:ilvl w:val="0"/>
          <w:numId w:val="2"/>
        </w:numPr>
        <w:spacing w:after="60"/>
      </w:pPr>
      <w:r>
        <w:rPr>
          <w:rFonts w:ascii="Arial" w:eastAsia="Arial" w:hAnsi="Arial" w:cs="Arial"/>
          <w:b/>
          <w:bCs/>
          <w:color w:val="555555"/>
        </w:rPr>
        <w:t xml:space="preserve">Weekly online workshops — </w:t>
      </w:r>
      <w:proofErr w:type="spellStart"/>
      <w:r>
        <w:rPr>
          <w:rFonts w:ascii="Arial" w:eastAsia="Arial" w:hAnsi="Arial" w:cs="Arial"/>
          <w:b/>
          <w:bCs/>
          <w:color w:val="555555"/>
        </w:rPr>
        <w:t>Womantically</w:t>
      </w:r>
      <w:proofErr w:type="spellEnd"/>
      <w:r>
        <w:rPr>
          <w:rFonts w:ascii="Arial" w:eastAsia="Arial" w:hAnsi="Arial" w:cs="Arial"/>
          <w:b/>
          <w:bCs/>
          <w:color w:val="555555"/>
        </w:rPr>
        <w:t xml:space="preserve"> Wise (10am PST) and </w:t>
      </w:r>
      <w:proofErr w:type="spellStart"/>
      <w:r>
        <w:rPr>
          <w:rFonts w:ascii="Arial" w:eastAsia="Arial" w:hAnsi="Arial" w:cs="Arial"/>
          <w:b/>
          <w:bCs/>
          <w:color w:val="555555"/>
        </w:rPr>
        <w:t>Menovation</w:t>
      </w:r>
      <w:proofErr w:type="spellEnd"/>
      <w:r>
        <w:rPr>
          <w:rFonts w:ascii="Arial" w:eastAsia="Arial" w:hAnsi="Arial" w:cs="Arial"/>
          <w:b/>
          <w:bCs/>
          <w:color w:val="555555"/>
        </w:rPr>
        <w:t xml:space="preserve"> Guild (4pm PST)</w:t>
      </w:r>
    </w:p>
    <w:p w14:paraId="5178B174" w14:textId="77777777" w:rsidR="00E60AD3" w:rsidRDefault="00000000">
      <w:pPr>
        <w:pStyle w:val="ListParagraph"/>
        <w:numPr>
          <w:ilvl w:val="0"/>
          <w:numId w:val="2"/>
        </w:numPr>
        <w:spacing w:after="60"/>
      </w:pPr>
      <w:r>
        <w:rPr>
          <w:rFonts w:ascii="Arial" w:eastAsia="Arial" w:hAnsi="Arial" w:cs="Arial"/>
          <w:color w:val="555555"/>
        </w:rPr>
        <w:t>Masterminds — intimate 6-person cohorts for deeper integration</w:t>
      </w:r>
    </w:p>
    <w:p w14:paraId="1E3C9738" w14:textId="77777777" w:rsidR="00E60AD3" w:rsidRDefault="00000000">
      <w:pPr>
        <w:pStyle w:val="ListParagraph"/>
        <w:numPr>
          <w:ilvl w:val="0"/>
          <w:numId w:val="2"/>
        </w:numPr>
        <w:spacing w:after="60"/>
      </w:pPr>
      <w:r>
        <w:rPr>
          <w:rFonts w:ascii="Arial" w:eastAsia="Arial" w:hAnsi="Arial" w:cs="Arial"/>
          <w:color w:val="555555"/>
        </w:rPr>
        <w:t>Coaching — optional individual guidance for participants who want precision</w:t>
      </w:r>
    </w:p>
    <w:p w14:paraId="1581FE49" w14:textId="77777777" w:rsidR="00E60AD3" w:rsidRDefault="00000000">
      <w:pPr>
        <w:pStyle w:val="ListParagraph"/>
        <w:numPr>
          <w:ilvl w:val="0"/>
          <w:numId w:val="2"/>
        </w:numPr>
        <w:spacing w:after="60"/>
      </w:pPr>
      <w:r>
        <w:rPr>
          <w:rFonts w:ascii="Arial" w:eastAsia="Arial" w:hAnsi="Arial" w:cs="Arial"/>
          <w:color w:val="555555"/>
        </w:rPr>
        <w:t>Books and self-study tools — companion curriculum in development</w:t>
      </w:r>
    </w:p>
    <w:p w14:paraId="3705002D" w14:textId="77777777" w:rsidR="00E60AD3" w:rsidRDefault="00000000">
      <w:pPr>
        <w:pStyle w:val="ListParagraph"/>
        <w:numPr>
          <w:ilvl w:val="0"/>
          <w:numId w:val="2"/>
        </w:numPr>
        <w:spacing w:after="60"/>
      </w:pPr>
      <w:r>
        <w:rPr>
          <w:rFonts w:ascii="Arial" w:eastAsia="Arial" w:hAnsi="Arial" w:cs="Arial"/>
          <w:color w:val="555555"/>
        </w:rPr>
        <w:t>Digital products and apps — Blueprint Tools, Sit-Rep, Dating App integration</w:t>
      </w:r>
    </w:p>
    <w:p w14:paraId="55E48707" w14:textId="77777777" w:rsidR="00E60AD3" w:rsidRDefault="00000000">
      <w:pPr>
        <w:pStyle w:val="ListParagraph"/>
        <w:numPr>
          <w:ilvl w:val="0"/>
          <w:numId w:val="2"/>
        </w:numPr>
        <w:spacing w:after="60"/>
      </w:pPr>
      <w:r>
        <w:rPr>
          <w:rFonts w:ascii="Arial" w:eastAsia="Arial" w:hAnsi="Arial" w:cs="Arial"/>
          <w:color w:val="555555"/>
        </w:rPr>
        <w:t>Modular and adaptable — across cultures, relationship styles, and life stages</w:t>
      </w:r>
    </w:p>
    <w:p w14:paraId="3B1CF8BA" w14:textId="77777777" w:rsidR="00E60AD3" w:rsidRDefault="00000000">
      <w:pPr>
        <w:pBdr>
          <w:bottom w:val="single" w:sz="2" w:space="3" w:color="D4B8C8"/>
        </w:pBdr>
        <w:spacing w:before="200" w:after="80"/>
      </w:pPr>
      <w:r>
        <w:rPr>
          <w:rFonts w:ascii="Arial" w:eastAsia="Arial" w:hAnsi="Arial" w:cs="Arial"/>
          <w:b/>
          <w:bCs/>
          <w:color w:val="5B1F4A"/>
          <w:sz w:val="22"/>
          <w:szCs w:val="22"/>
        </w:rPr>
        <w:t>Status</w:t>
      </w:r>
    </w:p>
    <w:p w14:paraId="617EC199" w14:textId="77777777" w:rsidR="00E60AD3" w:rsidRDefault="00000000">
      <w:pPr>
        <w:pStyle w:val="ListParagraph"/>
        <w:numPr>
          <w:ilvl w:val="0"/>
          <w:numId w:val="2"/>
        </w:numPr>
        <w:spacing w:after="60"/>
      </w:pPr>
      <w:r>
        <w:rPr>
          <w:rFonts w:ascii="Arial" w:eastAsia="Arial" w:hAnsi="Arial" w:cs="Arial"/>
          <w:b/>
          <w:bCs/>
          <w:color w:val="555555"/>
        </w:rPr>
        <w:t>Fully developed — embedded in curriculum, workshops, and digital tools</w:t>
      </w:r>
    </w:p>
    <w:p w14:paraId="56D5F61A" w14:textId="77777777" w:rsidR="00E60AD3" w:rsidRDefault="00000000">
      <w:pPr>
        <w:pStyle w:val="ListParagraph"/>
        <w:numPr>
          <w:ilvl w:val="0"/>
          <w:numId w:val="2"/>
        </w:numPr>
        <w:spacing w:after="60"/>
      </w:pPr>
      <w:r>
        <w:rPr>
          <w:rFonts w:ascii="Arial" w:eastAsia="Arial" w:hAnsi="Arial" w:cs="Arial"/>
          <w:color w:val="555555"/>
        </w:rPr>
        <w:t xml:space="preserve">October 2026 beta launch — </w:t>
      </w:r>
      <w:proofErr w:type="spellStart"/>
      <w:r>
        <w:rPr>
          <w:rFonts w:ascii="Arial" w:eastAsia="Arial" w:hAnsi="Arial" w:cs="Arial"/>
          <w:color w:val="555555"/>
        </w:rPr>
        <w:t>Womantically</w:t>
      </w:r>
      <w:proofErr w:type="spellEnd"/>
      <w:r>
        <w:rPr>
          <w:rFonts w:ascii="Arial" w:eastAsia="Arial" w:hAnsi="Arial" w:cs="Arial"/>
          <w:color w:val="555555"/>
        </w:rPr>
        <w:t xml:space="preserve"> Wise and </w:t>
      </w:r>
      <w:proofErr w:type="spellStart"/>
      <w:r>
        <w:rPr>
          <w:rFonts w:ascii="Arial" w:eastAsia="Arial" w:hAnsi="Arial" w:cs="Arial"/>
          <w:color w:val="555555"/>
        </w:rPr>
        <w:t>Menovation</w:t>
      </w:r>
      <w:proofErr w:type="spellEnd"/>
      <w:r>
        <w:rPr>
          <w:rFonts w:ascii="Arial" w:eastAsia="Arial" w:hAnsi="Arial" w:cs="Arial"/>
          <w:color w:val="555555"/>
        </w:rPr>
        <w:t xml:space="preserve"> Guild</w:t>
      </w:r>
    </w:p>
    <w:p w14:paraId="694F3662" w14:textId="77777777" w:rsidR="00E60AD3" w:rsidRDefault="00000000">
      <w:pPr>
        <w:pStyle w:val="ListParagraph"/>
        <w:numPr>
          <w:ilvl w:val="0"/>
          <w:numId w:val="2"/>
        </w:numPr>
        <w:spacing w:after="60"/>
      </w:pPr>
      <w:r>
        <w:rPr>
          <w:rFonts w:ascii="Arial" w:eastAsia="Arial" w:hAnsi="Arial" w:cs="Arial"/>
          <w:color w:val="555555"/>
        </w:rPr>
        <w:t>Scholarship access built in — no financial barrier to survivor participation</w:t>
      </w:r>
    </w:p>
    <w:p w14:paraId="1EE63FDF" w14:textId="77777777" w:rsidR="00E60AD3" w:rsidRDefault="00000000">
      <w:pPr>
        <w:pStyle w:val="ListParagraph"/>
        <w:numPr>
          <w:ilvl w:val="0"/>
          <w:numId w:val="2"/>
        </w:numPr>
        <w:spacing w:after="60"/>
      </w:pPr>
      <w:r>
        <w:rPr>
          <w:rFonts w:ascii="Arial" w:eastAsia="Arial" w:hAnsi="Arial" w:cs="Arial"/>
          <w:color w:val="555555"/>
        </w:rPr>
        <w:t>Suitable for partnerships, pilots, licensing, and institutional use</w:t>
      </w:r>
    </w:p>
    <w:p w14:paraId="022D0191" w14:textId="77777777" w:rsidR="00E60AD3" w:rsidRDefault="00E60AD3">
      <w:pPr>
        <w:spacing w:before="80"/>
      </w:pPr>
    </w:p>
    <w:p w14:paraId="13A1C9F5" w14:textId="77777777" w:rsidR="00E60AD3" w:rsidRDefault="00000000">
      <w:pPr>
        <w:pBdr>
          <w:top w:val="single" w:sz="3" w:space="4" w:color="C8A96E"/>
        </w:pBdr>
        <w:spacing w:before="200"/>
        <w:jc w:val="center"/>
      </w:pPr>
      <w:proofErr w:type="gramStart"/>
      <w:r>
        <w:rPr>
          <w:rFonts w:ascii="Arial" w:eastAsia="Arial" w:hAnsi="Arial" w:cs="Arial"/>
          <w:color w:val="555555"/>
          <w:sz w:val="17"/>
          <w:szCs w:val="17"/>
        </w:rPr>
        <w:t>intimology.org  |</w:t>
      </w:r>
      <w:proofErr w:type="gramEnd"/>
      <w:r>
        <w:rPr>
          <w:rFonts w:ascii="Arial" w:eastAsia="Arial" w:hAnsi="Arial" w:cs="Arial"/>
          <w:color w:val="555555"/>
          <w:sz w:val="17"/>
          <w:szCs w:val="17"/>
        </w:rPr>
        <w:t xml:space="preserve">  </w:t>
      </w:r>
      <w:proofErr w:type="gramStart"/>
      <w:r>
        <w:rPr>
          <w:rFonts w:ascii="Arial" w:eastAsia="Arial" w:hAnsi="Arial" w:cs="Arial"/>
          <w:color w:val="555555"/>
          <w:sz w:val="17"/>
          <w:szCs w:val="17"/>
        </w:rPr>
        <w:t>ask@intimology.org  |</w:t>
      </w:r>
      <w:proofErr w:type="gramEnd"/>
      <w:r>
        <w:rPr>
          <w:rFonts w:ascii="Arial" w:eastAsia="Arial" w:hAnsi="Arial" w:cs="Arial"/>
          <w:color w:val="555555"/>
          <w:sz w:val="17"/>
          <w:szCs w:val="17"/>
        </w:rPr>
        <w:t xml:space="preserve">  509-383-</w:t>
      </w:r>
      <w:proofErr w:type="gramStart"/>
      <w:r>
        <w:rPr>
          <w:rFonts w:ascii="Arial" w:eastAsia="Arial" w:hAnsi="Arial" w:cs="Arial"/>
          <w:color w:val="555555"/>
          <w:sz w:val="17"/>
          <w:szCs w:val="17"/>
        </w:rPr>
        <w:t>8380  |</w:t>
      </w:r>
      <w:proofErr w:type="gramEnd"/>
      <w:r>
        <w:rPr>
          <w:rFonts w:ascii="Arial" w:eastAsia="Arial" w:hAnsi="Arial" w:cs="Arial"/>
          <w:color w:val="555555"/>
          <w:sz w:val="17"/>
          <w:szCs w:val="17"/>
        </w:rPr>
        <w:t xml:space="preserve">  EIN #88-3785162</w:t>
      </w:r>
    </w:p>
    <w:sectPr w:rsidR="00E60AD3">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C4BAE"/>
    <w:multiLevelType w:val="hybridMultilevel"/>
    <w:tmpl w:val="16F410B8"/>
    <w:lvl w:ilvl="0" w:tplc="CF1035C8">
      <w:start w:val="1"/>
      <w:numFmt w:val="bullet"/>
      <w:lvlText w:val="●"/>
      <w:lvlJc w:val="left"/>
      <w:pPr>
        <w:ind w:left="720" w:hanging="360"/>
      </w:pPr>
    </w:lvl>
    <w:lvl w:ilvl="1" w:tplc="CC22D25A">
      <w:start w:val="1"/>
      <w:numFmt w:val="bullet"/>
      <w:lvlText w:val="○"/>
      <w:lvlJc w:val="left"/>
      <w:pPr>
        <w:ind w:left="1440" w:hanging="360"/>
      </w:pPr>
    </w:lvl>
    <w:lvl w:ilvl="2" w:tplc="81A8A8A4">
      <w:start w:val="1"/>
      <w:numFmt w:val="bullet"/>
      <w:lvlText w:val="■"/>
      <w:lvlJc w:val="left"/>
      <w:pPr>
        <w:ind w:left="2160" w:hanging="360"/>
      </w:pPr>
    </w:lvl>
    <w:lvl w:ilvl="3" w:tplc="3A0C6AD0">
      <w:start w:val="1"/>
      <w:numFmt w:val="bullet"/>
      <w:lvlText w:val="●"/>
      <w:lvlJc w:val="left"/>
      <w:pPr>
        <w:ind w:left="2880" w:hanging="360"/>
      </w:pPr>
    </w:lvl>
    <w:lvl w:ilvl="4" w:tplc="418E3394">
      <w:start w:val="1"/>
      <w:numFmt w:val="bullet"/>
      <w:lvlText w:val="○"/>
      <w:lvlJc w:val="left"/>
      <w:pPr>
        <w:ind w:left="3600" w:hanging="360"/>
      </w:pPr>
    </w:lvl>
    <w:lvl w:ilvl="5" w:tplc="31260272">
      <w:start w:val="1"/>
      <w:numFmt w:val="bullet"/>
      <w:lvlText w:val="■"/>
      <w:lvlJc w:val="left"/>
      <w:pPr>
        <w:ind w:left="4320" w:hanging="360"/>
      </w:pPr>
    </w:lvl>
    <w:lvl w:ilvl="6" w:tplc="273E000E">
      <w:start w:val="1"/>
      <w:numFmt w:val="bullet"/>
      <w:lvlText w:val="●"/>
      <w:lvlJc w:val="left"/>
      <w:pPr>
        <w:ind w:left="5040" w:hanging="360"/>
      </w:pPr>
    </w:lvl>
    <w:lvl w:ilvl="7" w:tplc="995A7A46">
      <w:start w:val="1"/>
      <w:numFmt w:val="bullet"/>
      <w:lvlText w:val="●"/>
      <w:lvlJc w:val="left"/>
      <w:pPr>
        <w:ind w:left="5760" w:hanging="360"/>
      </w:pPr>
    </w:lvl>
    <w:lvl w:ilvl="8" w:tplc="556A21F6">
      <w:start w:val="1"/>
      <w:numFmt w:val="bullet"/>
      <w:lvlText w:val="●"/>
      <w:lvlJc w:val="left"/>
      <w:pPr>
        <w:ind w:left="6480" w:hanging="360"/>
      </w:pPr>
    </w:lvl>
  </w:abstractNum>
  <w:abstractNum w:abstractNumId="1" w15:restartNumberingAfterBreak="0">
    <w:nsid w:val="7CEE0845"/>
    <w:multiLevelType w:val="hybridMultilevel"/>
    <w:tmpl w:val="FE7CA602"/>
    <w:lvl w:ilvl="0" w:tplc="163A36AE">
      <w:start w:val="1"/>
      <w:numFmt w:val="bullet"/>
      <w:lvlText w:val="•"/>
      <w:lvlJc w:val="left"/>
      <w:pPr>
        <w:ind w:left="360" w:hanging="360"/>
      </w:pPr>
    </w:lvl>
    <w:lvl w:ilvl="1" w:tplc="21D673CE">
      <w:numFmt w:val="decimal"/>
      <w:lvlText w:val=""/>
      <w:lvlJc w:val="left"/>
    </w:lvl>
    <w:lvl w:ilvl="2" w:tplc="1F1A865E">
      <w:numFmt w:val="decimal"/>
      <w:lvlText w:val=""/>
      <w:lvlJc w:val="left"/>
    </w:lvl>
    <w:lvl w:ilvl="3" w:tplc="3A542386">
      <w:numFmt w:val="decimal"/>
      <w:lvlText w:val=""/>
      <w:lvlJc w:val="left"/>
    </w:lvl>
    <w:lvl w:ilvl="4" w:tplc="376A6086">
      <w:numFmt w:val="decimal"/>
      <w:lvlText w:val=""/>
      <w:lvlJc w:val="left"/>
    </w:lvl>
    <w:lvl w:ilvl="5" w:tplc="71B83366">
      <w:numFmt w:val="decimal"/>
      <w:lvlText w:val=""/>
      <w:lvlJc w:val="left"/>
    </w:lvl>
    <w:lvl w:ilvl="6" w:tplc="17462176">
      <w:numFmt w:val="decimal"/>
      <w:lvlText w:val=""/>
      <w:lvlJc w:val="left"/>
    </w:lvl>
    <w:lvl w:ilvl="7" w:tplc="3114453A">
      <w:numFmt w:val="decimal"/>
      <w:lvlText w:val=""/>
      <w:lvlJc w:val="left"/>
    </w:lvl>
    <w:lvl w:ilvl="8" w:tplc="3F88B900">
      <w:numFmt w:val="decimal"/>
      <w:lvlText w:val=""/>
      <w:lvlJc w:val="left"/>
    </w:lvl>
  </w:abstractNum>
  <w:num w:numId="1" w16cid:durableId="1281497454">
    <w:abstractNumId w:val="0"/>
    <w:lvlOverride w:ilvl="0">
      <w:startOverride w:val="1"/>
    </w:lvlOverride>
  </w:num>
  <w:num w:numId="2" w16cid:durableId="4472356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D3"/>
    <w:rsid w:val="003F5E72"/>
    <w:rsid w:val="004C2EE1"/>
    <w:rsid w:val="005D5C83"/>
    <w:rsid w:val="00771A37"/>
    <w:rsid w:val="009F794C"/>
    <w:rsid w:val="00BC56A3"/>
    <w:rsid w:val="00C112EA"/>
    <w:rsid w:val="00E60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B6111"/>
  <w15:docId w15:val="{FC765AB1-6C9B-4458-91F7-5FDA5663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796</Words>
  <Characters>4540</Characters>
  <Application>Microsoft Office Word</Application>
  <DocSecurity>0</DocSecurity>
  <Lines>37</Lines>
  <Paragraphs>10</Paragraphs>
  <ScaleCrop>false</ScaleCrop>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oriana landt</cp:lastModifiedBy>
  <cp:revision>7</cp:revision>
  <dcterms:created xsi:type="dcterms:W3CDTF">2026-06-26T01:40:00Z</dcterms:created>
  <dcterms:modified xsi:type="dcterms:W3CDTF">2026-06-26T01:47:00Z</dcterms:modified>
</cp:coreProperties>
</file>